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F7929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b65e897d.B" w:hAnsi="AdvOTb65e897d.B" w:cs="AdvOTb65e897d.B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>Supplementary Materials</w:t>
      </w:r>
    </w:p>
    <w:p w14:paraId="23C7F1DD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Table. S1 </w:t>
      </w:r>
      <w:r>
        <w:rPr>
          <w:rFonts w:ascii="AdvOT1ef757c0" w:hAnsi="AdvOT1ef757c0" w:cs="AdvOT1ef757c0"/>
          <w:kern w:val="0"/>
          <w:sz w:val="20"/>
          <w:szCs w:val="20"/>
        </w:rPr>
        <w:t>Raw data tables</w:t>
      </w:r>
    </w:p>
    <w:p w14:paraId="0F5CC726" w14:textId="36E5E508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A. The raw data of </w:t>
      </w: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 expression during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>preadipocyte differentiation.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</w:p>
    <w:p w14:paraId="3344A994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B. The raw data of overexpression veri</w:t>
      </w:r>
      <w:r w:rsidRPr="000B3424">
        <w:rPr>
          <w:rFonts w:ascii="AdvOT1ef757c0" w:hAnsi="AdvOT1ef757c0" w:cs="AdvOT1ef757c0"/>
          <w:kern w:val="0"/>
          <w:sz w:val="20"/>
          <w:szCs w:val="20"/>
        </w:rPr>
        <w:t>fi</w:t>
      </w:r>
      <w:r>
        <w:rPr>
          <w:rFonts w:ascii="AdvOT1ef757c0" w:hAnsi="AdvOT1ef757c0" w:cs="AdvOT1ef757c0"/>
          <w:kern w:val="0"/>
          <w:sz w:val="20"/>
          <w:szCs w:val="20"/>
        </w:rPr>
        <w:t>cation by qPCR test.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</w:p>
    <w:p w14:paraId="31E31000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C. The raw data of interference veri</w:t>
      </w:r>
      <w:r w:rsidRPr="000B3424">
        <w:rPr>
          <w:rFonts w:ascii="AdvOT1ef757c0" w:hAnsi="AdvOT1ef757c0" w:cs="AdvOT1ef757c0"/>
          <w:kern w:val="0"/>
          <w:sz w:val="20"/>
          <w:szCs w:val="20"/>
        </w:rPr>
        <w:t>fi</w:t>
      </w:r>
      <w:r>
        <w:rPr>
          <w:rFonts w:ascii="AdvOT1ef757c0" w:hAnsi="AdvOT1ef757c0" w:cs="AdvOT1ef757c0"/>
          <w:kern w:val="0"/>
          <w:sz w:val="20"/>
          <w:szCs w:val="20"/>
        </w:rPr>
        <w:t>cation by qPCR test.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</w:p>
    <w:p w14:paraId="0C07D1BF" w14:textId="6C2A67F5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D. The raw data of </w:t>
      </w: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 expression in different days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with overexpression of </w:t>
      </w: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gene.</w:t>
      </w:r>
    </w:p>
    <w:p w14:paraId="43BB3CB7" w14:textId="1320060F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E. The raw data of </w:t>
      </w:r>
      <w:proofErr w:type="spellStart"/>
      <w:r w:rsidRPr="000B3424">
        <w:rPr>
          <w:rFonts w:ascii="AdvOT1ef757c0" w:hAnsi="AdvOT1ef757c0" w:cs="AdvOT1ef757c0"/>
          <w:kern w:val="0"/>
          <w:sz w:val="20"/>
          <w:szCs w:val="20"/>
        </w:rPr>
        <w:t>PPARgamma</w:t>
      </w:r>
      <w:proofErr w:type="spellEnd"/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>gene expression in different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days with overexpression of </w:t>
      </w: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gene.</w:t>
      </w:r>
    </w:p>
    <w:p w14:paraId="1D9E05CB" w14:textId="4BFFE00B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F. The raw data of </w:t>
      </w: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 expression in different days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with interference of </w:t>
      </w:r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gene.</w:t>
      </w:r>
    </w:p>
    <w:p w14:paraId="0AF66004" w14:textId="4A3BAA4B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G. The raw data of </w:t>
      </w:r>
      <w:proofErr w:type="spellStart"/>
      <w:r w:rsidRPr="000B3424">
        <w:rPr>
          <w:rFonts w:ascii="AdvOT1ef757c0" w:hAnsi="AdvOT1ef757c0" w:cs="AdvOT1ef757c0"/>
          <w:kern w:val="0"/>
          <w:sz w:val="20"/>
          <w:szCs w:val="20"/>
        </w:rPr>
        <w:t>PPARgamma</w:t>
      </w:r>
      <w:proofErr w:type="spellEnd"/>
      <w:r w:rsidRPr="000B3424">
        <w:rPr>
          <w:rFonts w:ascii="AdvOT1ef757c0" w:hAnsi="AdvOT1ef757c0" w:cs="AdvOT1ef757c0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>gene expression in different</w:t>
      </w:r>
      <w:r>
        <w:rPr>
          <w:rFonts w:ascii="AdvOT1ef757c0" w:hAnsi="AdvOT1ef757c0" w:cs="AdvOT1ef757c0" w:hint="eastAsia"/>
          <w:kern w:val="0"/>
          <w:sz w:val="20"/>
          <w:szCs w:val="20"/>
        </w:rPr>
        <w:t xml:space="preserve"> </w:t>
      </w:r>
      <w:r>
        <w:rPr>
          <w:rFonts w:ascii="AdvOT1ef757c0" w:hAnsi="AdvOT1ef757c0" w:cs="AdvOT1ef757c0"/>
          <w:kern w:val="0"/>
          <w:sz w:val="20"/>
          <w:szCs w:val="20"/>
        </w:rPr>
        <w:t xml:space="preserve">days with interference of </w:t>
      </w:r>
      <w:r>
        <w:rPr>
          <w:rFonts w:ascii="AdvOT7d6df7ab.I" w:hAnsi="AdvOT7d6df7ab.I" w:cs="AdvOT7d6df7ab.I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gene.</w:t>
      </w:r>
    </w:p>
    <w:p w14:paraId="28CE2B82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H. The raw data of Oil red O staining.</w:t>
      </w:r>
    </w:p>
    <w:p w14:paraId="0867DA98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I. The raw data of Triglyceride.</w:t>
      </w:r>
    </w:p>
    <w:p w14:paraId="32CB64B3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b65e897d.B" w:hAnsi="AdvOTb65e897d.B" w:cs="AdvOTb65e897d.B"/>
          <w:kern w:val="0"/>
          <w:sz w:val="20"/>
          <w:szCs w:val="20"/>
        </w:rPr>
      </w:pPr>
    </w:p>
    <w:p w14:paraId="1339ADD2" w14:textId="6E00E12D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Figure. S1 </w:t>
      </w:r>
      <w:r>
        <w:rPr>
          <w:rFonts w:ascii="AdvOT1ef757c0" w:hAnsi="AdvOT1ef757c0" w:cs="AdvOT1ef757c0"/>
          <w:kern w:val="0"/>
          <w:sz w:val="20"/>
          <w:szCs w:val="20"/>
        </w:rPr>
        <w:t>Raw data images.</w:t>
      </w:r>
    </w:p>
    <w:p w14:paraId="26CE1866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A. The gel map of CDs region of </w:t>
      </w:r>
      <w:r>
        <w:rPr>
          <w:rFonts w:ascii="AdvOT7d6df7ab.I" w:hAnsi="AdvOT7d6df7ab.I" w:cs="AdvOT7d6df7ab.I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gene.</w:t>
      </w:r>
    </w:p>
    <w:p w14:paraId="4B8AC2FE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B. Sequencing comparison of CDs region of </w:t>
      </w:r>
      <w:r>
        <w:rPr>
          <w:rFonts w:ascii="AdvOT7d6df7ab.I" w:hAnsi="AdvOT7d6df7ab.I" w:cs="AdvOT7d6df7ab.I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gene.</w:t>
      </w:r>
    </w:p>
    <w:p w14:paraId="25675E1F" w14:textId="77777777" w:rsidR="000B3424" w:rsidRDefault="000B3424" w:rsidP="000B3424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 xml:space="preserve">C. The map of western blot of </w:t>
      </w:r>
      <w:r>
        <w:rPr>
          <w:rFonts w:ascii="AdvOT7d6df7ab.I" w:hAnsi="AdvOT7d6df7ab.I" w:cs="AdvOT7d6df7ab.I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interference.</w:t>
      </w:r>
    </w:p>
    <w:p w14:paraId="172FAB3B" w14:textId="0992888F" w:rsidR="00741C36" w:rsidRDefault="000B3424" w:rsidP="000B3424">
      <w:r>
        <w:rPr>
          <w:rFonts w:ascii="AdvOT1ef757c0" w:hAnsi="AdvOT1ef757c0" w:cs="AdvOT1ef757c0"/>
          <w:kern w:val="0"/>
          <w:sz w:val="20"/>
          <w:szCs w:val="20"/>
        </w:rPr>
        <w:t xml:space="preserve">D. The map of western blot of </w:t>
      </w:r>
      <w:r>
        <w:rPr>
          <w:rFonts w:ascii="AdvOT7d6df7ab.I" w:hAnsi="AdvOT7d6df7ab.I" w:cs="AdvOT7d6df7ab.I"/>
          <w:kern w:val="0"/>
          <w:sz w:val="20"/>
          <w:szCs w:val="20"/>
        </w:rPr>
        <w:t xml:space="preserve">MED4 </w:t>
      </w:r>
      <w:r>
        <w:rPr>
          <w:rFonts w:ascii="AdvOT1ef757c0" w:hAnsi="AdvOT1ef757c0" w:cs="AdvOT1ef757c0"/>
          <w:kern w:val="0"/>
          <w:sz w:val="20"/>
          <w:szCs w:val="20"/>
        </w:rPr>
        <w:t>Overexpression.</w:t>
      </w:r>
    </w:p>
    <w:sectPr w:rsidR="00741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b65e897d.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1ef757c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7d6df7ab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092"/>
    <w:rsid w:val="000B3424"/>
    <w:rsid w:val="00741C36"/>
    <w:rsid w:val="00C8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D7964"/>
  <w15:chartTrackingRefBased/>
  <w15:docId w15:val="{9CF0316B-3982-4800-B921-18CACF62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2023-09-06T03:49:00Z</dcterms:created>
  <dcterms:modified xsi:type="dcterms:W3CDTF">2023-09-06T03:50:00Z</dcterms:modified>
</cp:coreProperties>
</file>